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77E9EC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F91DB6">
        <w:rPr>
          <w:rFonts w:eastAsia="Arial Unicode MS"/>
          <w:b/>
        </w:rPr>
        <w:t>5</w:t>
      </w:r>
    </w:p>
    <w:p w14:paraId="6D9BB767" w14:textId="0A8A14CB"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F91DB6">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F57DCFB" w14:textId="77777777" w:rsidR="00F91DB6" w:rsidRPr="00F91DB6" w:rsidRDefault="00F91DB6" w:rsidP="004A0609">
      <w:pPr>
        <w:rPr>
          <w:rFonts w:eastAsiaTheme="minorHAnsi"/>
          <w:b/>
          <w:bCs/>
          <w:kern w:val="2"/>
          <w:lang w:eastAsia="en-US"/>
          <w14:ligatures w14:val="standardContextual"/>
        </w:rPr>
      </w:pPr>
      <w:bookmarkStart w:id="13" w:name="_Hlk143004442"/>
      <w:r w:rsidRPr="00F91DB6">
        <w:rPr>
          <w:rFonts w:eastAsiaTheme="minorHAnsi"/>
          <w:b/>
          <w:bCs/>
          <w:kern w:val="2"/>
          <w:lang w:eastAsia="en-US"/>
          <w14:ligatures w14:val="standardContextual"/>
        </w:rPr>
        <w:t>Par atļauju mantojuma pieņemšanai</w:t>
      </w:r>
    </w:p>
    <w:p w14:paraId="6F2FAD03" w14:textId="77777777" w:rsidR="00F91DB6" w:rsidRDefault="00F91DB6" w:rsidP="004A0609">
      <w:pPr>
        <w:rPr>
          <w:rFonts w:eastAsiaTheme="minorHAnsi"/>
          <w:b/>
          <w:bCs/>
          <w:kern w:val="2"/>
          <w:lang w:eastAsia="en-US"/>
          <w14:ligatures w14:val="standardContextual"/>
        </w:rPr>
      </w:pPr>
    </w:p>
    <w:p w14:paraId="7BE18F4B" w14:textId="10BA1134" w:rsidR="00F91DB6" w:rsidRPr="00F91DB6" w:rsidRDefault="00F91DB6" w:rsidP="004A0609">
      <w:pPr>
        <w:ind w:firstLine="720"/>
        <w:jc w:val="both"/>
        <w:rPr>
          <w:rFonts w:eastAsiaTheme="minorHAnsi"/>
          <w:kern w:val="2"/>
          <w:lang w:eastAsia="en-US"/>
          <w14:ligatures w14:val="standardContextual"/>
        </w:rPr>
      </w:pPr>
      <w:r w:rsidRPr="00F91DB6">
        <w:rPr>
          <w:rFonts w:eastAsiaTheme="minorHAnsi"/>
          <w:kern w:val="2"/>
          <w:lang w:eastAsia="en-US"/>
          <w14:ligatures w14:val="standardContextual"/>
        </w:rPr>
        <w:t>Atbilstoši Vidzemes apgabaltiesas zvērināta notāra Jāņa Branta 2022. gada notariālo aktu grāmatas apliecības par testamentu nolasīšanu ar akta reģistra Nr.</w:t>
      </w:r>
      <w:r>
        <w:rPr>
          <w:rFonts w:eastAsiaTheme="minorHAnsi"/>
          <w:kern w:val="2"/>
          <w:lang w:eastAsia="en-US"/>
          <w14:ligatures w14:val="standardContextual"/>
        </w:rPr>
        <w:t> </w:t>
      </w:r>
      <w:r w:rsidRPr="00F91DB6">
        <w:rPr>
          <w:rFonts w:eastAsiaTheme="minorHAnsi"/>
          <w:kern w:val="2"/>
          <w:lang w:eastAsia="en-US"/>
          <w14:ligatures w14:val="standardContextual"/>
        </w:rPr>
        <w:t>1164 izrakstam saskaņā ar</w:t>
      </w:r>
      <w:r>
        <w:rPr>
          <w:rFonts w:eastAsiaTheme="minorHAnsi"/>
          <w:kern w:val="2"/>
          <w:lang w:eastAsia="en-US"/>
          <w14:ligatures w14:val="standardContextual"/>
        </w:rPr>
        <w:t xml:space="preserve"> </w:t>
      </w:r>
      <w:r w:rsidRPr="00F91DB6">
        <w:rPr>
          <w:rFonts w:eastAsiaTheme="minorHAnsi"/>
          <w:kern w:val="2"/>
          <w:lang w:eastAsia="en-US"/>
          <w14:ligatures w14:val="standardContextual"/>
        </w:rPr>
        <w:t>15.11.2021. Madonas novada bāriņtiesā apliecināto testamentu (akta reģ. Nr.</w:t>
      </w:r>
      <w:r>
        <w:rPr>
          <w:rFonts w:eastAsiaTheme="minorHAnsi"/>
          <w:kern w:val="2"/>
          <w:lang w:eastAsia="en-US"/>
          <w14:ligatures w14:val="standardContextual"/>
        </w:rPr>
        <w:t> </w:t>
      </w:r>
      <w:r w:rsidRPr="00F91DB6">
        <w:rPr>
          <w:rFonts w:eastAsiaTheme="minorHAnsi"/>
          <w:kern w:val="2"/>
          <w:lang w:eastAsia="en-US"/>
          <w14:ligatures w14:val="standardContextual"/>
        </w:rPr>
        <w:t xml:space="preserve">42) </w:t>
      </w:r>
      <w:r w:rsidR="0048303F">
        <w:rPr>
          <w:rFonts w:eastAsiaTheme="minorHAnsi"/>
          <w:kern w:val="2"/>
          <w:lang w:eastAsia="en-US"/>
          <w14:ligatures w14:val="standardContextual"/>
        </w:rPr>
        <w:t>[..]</w:t>
      </w:r>
      <w:r w:rsidRPr="00F91DB6">
        <w:rPr>
          <w:rFonts w:eastAsiaTheme="minorHAnsi"/>
          <w:kern w:val="2"/>
          <w:lang w:eastAsia="en-US"/>
          <w14:ligatures w14:val="standardContextual"/>
        </w:rPr>
        <w:t xml:space="preserve"> pēc nāves ir novēlējis 16000</w:t>
      </w:r>
      <w:r w:rsidR="004A0609">
        <w:rPr>
          <w:rFonts w:eastAsiaTheme="minorHAnsi"/>
          <w:kern w:val="2"/>
          <w:lang w:eastAsia="en-US"/>
          <w14:ligatures w14:val="standardContextual"/>
        </w:rPr>
        <w:t>,00</w:t>
      </w:r>
      <w:r w:rsidRPr="00F91DB6">
        <w:rPr>
          <w:rFonts w:eastAsiaTheme="minorHAnsi"/>
          <w:kern w:val="2"/>
          <w:lang w:eastAsia="en-US"/>
          <w14:ligatures w14:val="standardContextual"/>
        </w:rPr>
        <w:t xml:space="preserve"> EUR skaidras naudas līdzekļus Lubānas veselības un sociālās aprūpes centram, reģistrācijas Nr. 90001823596. </w:t>
      </w:r>
    </w:p>
    <w:p w14:paraId="1743364C" w14:textId="630351B9" w:rsidR="00F91DB6" w:rsidRPr="00F91DB6" w:rsidRDefault="00F91DB6" w:rsidP="004A0609">
      <w:pPr>
        <w:jc w:val="both"/>
        <w:rPr>
          <w:rFonts w:eastAsiaTheme="minorHAnsi"/>
          <w:kern w:val="2"/>
          <w:lang w:eastAsia="en-US"/>
          <w14:ligatures w14:val="standardContextual"/>
        </w:rPr>
      </w:pPr>
      <w:r w:rsidRPr="00F91DB6">
        <w:rPr>
          <w:rFonts w:eastAsiaTheme="minorHAnsi"/>
          <w:kern w:val="2"/>
          <w:lang w:eastAsia="en-US"/>
          <w14:ligatures w14:val="standardContextual"/>
        </w:rPr>
        <w:t xml:space="preserve">     </w:t>
      </w:r>
      <w:r>
        <w:rPr>
          <w:rFonts w:eastAsiaTheme="minorHAnsi"/>
          <w:kern w:val="2"/>
          <w:lang w:eastAsia="en-US"/>
          <w14:ligatures w14:val="standardContextual"/>
        </w:rPr>
        <w:tab/>
      </w:r>
      <w:r w:rsidRPr="00F91DB6">
        <w:rPr>
          <w:rFonts w:eastAsiaTheme="minorHAnsi"/>
          <w:kern w:val="2"/>
          <w:lang w:eastAsia="en-US"/>
          <w14:ligatures w14:val="standardContextual"/>
        </w:rPr>
        <w:t>2021. gada 25. novembrī Madonas novada pašvaldības dome ar lēmumu Nr.</w:t>
      </w:r>
      <w:r>
        <w:rPr>
          <w:rFonts w:eastAsiaTheme="minorHAnsi"/>
          <w:kern w:val="2"/>
          <w:lang w:eastAsia="en-US"/>
          <w14:ligatures w14:val="standardContextual"/>
        </w:rPr>
        <w:t> </w:t>
      </w:r>
      <w:r w:rsidRPr="00F91DB6">
        <w:rPr>
          <w:rFonts w:eastAsiaTheme="minorHAnsi"/>
          <w:kern w:val="2"/>
          <w:lang w:eastAsia="en-US"/>
          <w14:ligatures w14:val="standardContextual"/>
        </w:rPr>
        <w:t>467 “</w:t>
      </w:r>
      <w:r w:rsidRPr="00F91DB6">
        <w:rPr>
          <w:rFonts w:eastAsiaTheme="minorHAnsi"/>
          <w:color w:val="000000"/>
          <w:kern w:val="2"/>
          <w:lang w:eastAsia="en-US"/>
          <w14:ligatures w14:val="standardContextual"/>
        </w:rPr>
        <w:t xml:space="preserve">Par Madonas novada pašvaldības iestādes “Lubānas Sociālās aprūpes centrs” izveidošanu” </w:t>
      </w:r>
      <w:r w:rsidRPr="00F91DB6">
        <w:rPr>
          <w:rFonts w:eastAsia="Arial Unicode MS"/>
          <w:color w:val="000000"/>
          <w:kern w:val="2"/>
          <w:lang w:eastAsia="en-US"/>
          <w14:ligatures w14:val="standardContextual"/>
        </w:rPr>
        <w:t>(protokols Nr.</w:t>
      </w:r>
      <w:r>
        <w:rPr>
          <w:rFonts w:eastAsia="Arial Unicode MS"/>
          <w:color w:val="000000"/>
          <w:kern w:val="2"/>
          <w:lang w:eastAsia="en-US"/>
          <w14:ligatures w14:val="standardContextual"/>
        </w:rPr>
        <w:t> </w:t>
      </w:r>
      <w:r w:rsidRPr="00F91DB6">
        <w:rPr>
          <w:rFonts w:eastAsia="Arial Unicode MS"/>
          <w:color w:val="000000"/>
          <w:kern w:val="2"/>
          <w:lang w:eastAsia="en-US"/>
          <w14:ligatures w14:val="standardContextual"/>
        </w:rPr>
        <w:t>15, 34.</w:t>
      </w:r>
      <w:r>
        <w:rPr>
          <w:rFonts w:eastAsia="Arial Unicode MS"/>
          <w:color w:val="000000"/>
          <w:kern w:val="2"/>
          <w:lang w:eastAsia="en-US"/>
          <w14:ligatures w14:val="standardContextual"/>
        </w:rPr>
        <w:t> </w:t>
      </w:r>
      <w:r w:rsidRPr="00F91DB6">
        <w:rPr>
          <w:rFonts w:eastAsia="Arial Unicode MS"/>
          <w:color w:val="000000"/>
          <w:kern w:val="2"/>
          <w:lang w:eastAsia="en-US"/>
          <w14:ligatures w14:val="standardContextual"/>
        </w:rPr>
        <w:t xml:space="preserve">p.) noteica, ka pašvaldības </w:t>
      </w:r>
      <w:r w:rsidRPr="00F91DB6">
        <w:rPr>
          <w:rFonts w:eastAsiaTheme="minorHAnsi"/>
          <w:color w:val="000000"/>
          <w:kern w:val="2"/>
          <w:lang w:eastAsia="en-US"/>
          <w14:ligatures w14:val="standardContextual"/>
        </w:rPr>
        <w:t>iestāde “Lubānas Sociālās aprūpes centrs” ir Lubānas novada Sociālā dienesta struktūrvienības “Lubānas veselības un sociālās aprūpes centrs” funkcijas, mantas, tiesību un saistību pārņēmēja, ciktāl normatīvajos aktos un domes lēmumos nav noteikts citādi. Iestādes “Lubānas Sociālās aprūpes centrs” vadītāja J.</w:t>
      </w:r>
      <w:r>
        <w:rPr>
          <w:rFonts w:eastAsiaTheme="minorHAnsi"/>
          <w:color w:val="000000"/>
          <w:kern w:val="2"/>
          <w:lang w:eastAsia="en-US"/>
          <w14:ligatures w14:val="standardContextual"/>
        </w:rPr>
        <w:t> </w:t>
      </w:r>
      <w:r w:rsidRPr="00F91DB6">
        <w:rPr>
          <w:rFonts w:eastAsiaTheme="minorHAnsi"/>
          <w:color w:val="000000"/>
          <w:kern w:val="2"/>
          <w:lang w:eastAsia="en-US"/>
          <w14:ligatures w14:val="standardContextual"/>
        </w:rPr>
        <w:t xml:space="preserve">Kočāne </w:t>
      </w:r>
      <w:r w:rsidRPr="00F91DB6">
        <w:rPr>
          <w:rFonts w:eastAsiaTheme="minorHAnsi"/>
          <w:kern w:val="2"/>
          <w:lang w:eastAsia="en-US"/>
          <w14:ligatures w14:val="standardContextual"/>
        </w:rPr>
        <w:t xml:space="preserve">01.02.2023. informēja Vidzemes apgabaltiesas zvērinātu notāru Jāni Brantu par piekrišanu pieņemt </w:t>
      </w:r>
      <w:r w:rsidR="0048303F">
        <w:rPr>
          <w:rFonts w:eastAsiaTheme="minorHAnsi"/>
          <w:kern w:val="2"/>
          <w:lang w:eastAsia="en-US"/>
          <w14:ligatures w14:val="standardContextual"/>
        </w:rPr>
        <w:t>[..]</w:t>
      </w:r>
      <w:r w:rsidRPr="00F91DB6">
        <w:rPr>
          <w:rFonts w:eastAsiaTheme="minorHAnsi"/>
          <w:kern w:val="2"/>
          <w:lang w:eastAsia="en-US"/>
          <w14:ligatures w14:val="standardContextual"/>
        </w:rPr>
        <w:t xml:space="preserve"> atstāto mantojumu.</w:t>
      </w:r>
    </w:p>
    <w:p w14:paraId="0886B371" w14:textId="466EA5F4" w:rsidR="00F91DB6" w:rsidRPr="00F91DB6" w:rsidRDefault="00F91DB6" w:rsidP="004A0609">
      <w:pPr>
        <w:jc w:val="both"/>
        <w:rPr>
          <w:rFonts w:eastAsiaTheme="minorHAnsi"/>
          <w:kern w:val="2"/>
          <w:lang w:eastAsia="en-US"/>
          <w14:ligatures w14:val="standardContextual"/>
        </w:rPr>
      </w:pPr>
      <w:r w:rsidRPr="00F91DB6">
        <w:rPr>
          <w:rFonts w:eastAsiaTheme="minorHAnsi"/>
          <w:kern w:val="2"/>
          <w:lang w:eastAsia="en-US"/>
          <w14:ligatures w14:val="standardContextual"/>
        </w:rPr>
        <w:t xml:space="preserve">     </w:t>
      </w:r>
      <w:r>
        <w:rPr>
          <w:rFonts w:eastAsiaTheme="minorHAnsi"/>
          <w:kern w:val="2"/>
          <w:lang w:eastAsia="en-US"/>
          <w14:ligatures w14:val="standardContextual"/>
        </w:rPr>
        <w:tab/>
      </w:r>
      <w:r w:rsidRPr="00F91DB6">
        <w:rPr>
          <w:rFonts w:eastAsiaTheme="minorHAnsi"/>
          <w:kern w:val="2"/>
          <w:lang w:eastAsia="en-US"/>
          <w14:ligatures w14:val="standardContextual"/>
        </w:rPr>
        <w:t>Likuma “Par interešu konflikta novēršanu valsts amatpersonu darbībā” 14.</w:t>
      </w:r>
      <w:r>
        <w:rPr>
          <w:rFonts w:eastAsiaTheme="minorHAnsi"/>
          <w:kern w:val="2"/>
          <w:lang w:eastAsia="en-US"/>
          <w14:ligatures w14:val="standardContextual"/>
        </w:rPr>
        <w:t xml:space="preserve"> </w:t>
      </w:r>
      <w:r w:rsidRPr="00F91DB6">
        <w:rPr>
          <w:rFonts w:eastAsiaTheme="minorHAnsi"/>
          <w:kern w:val="2"/>
          <w:lang w:eastAsia="en-US"/>
          <w14:ligatures w14:val="standardContextual"/>
        </w:rPr>
        <w:t>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6A058500" w14:textId="77777777" w:rsidR="00205468" w:rsidRDefault="00F91DB6" w:rsidP="004A0609">
      <w:pPr>
        <w:ind w:firstLine="720"/>
        <w:jc w:val="both"/>
        <w:rPr>
          <w:rFonts w:eastAsiaTheme="minorHAnsi"/>
          <w:kern w:val="2"/>
          <w:lang w:eastAsia="en-US"/>
          <w14:ligatures w14:val="standardContextual"/>
        </w:rPr>
      </w:pPr>
      <w:r w:rsidRPr="00F91DB6">
        <w:rPr>
          <w:rFonts w:eastAsiaTheme="minorHAnsi"/>
          <w:kern w:val="2"/>
          <w:lang w:eastAsia="en-US"/>
          <w14:ligatures w14:val="standardContextual"/>
        </w:rPr>
        <w:t>Ņemot vērā to, ka Pašvaldību likuma 10.</w:t>
      </w:r>
      <w:r>
        <w:rPr>
          <w:rFonts w:eastAsiaTheme="minorHAnsi"/>
          <w:kern w:val="2"/>
          <w:lang w:eastAsia="en-US"/>
          <w14:ligatures w14:val="standardContextual"/>
        </w:rPr>
        <w:t> </w:t>
      </w:r>
      <w:r w:rsidRPr="00F91DB6">
        <w:rPr>
          <w:rFonts w:eastAsiaTheme="minorHAnsi"/>
          <w:kern w:val="2"/>
          <w:lang w:eastAsia="en-US"/>
          <w14:ligatures w14:val="standardContextual"/>
        </w:rPr>
        <w:t>panta pirmās daļas 17.</w:t>
      </w:r>
      <w:r>
        <w:rPr>
          <w:rFonts w:eastAsiaTheme="minorHAnsi"/>
          <w:kern w:val="2"/>
          <w:lang w:eastAsia="en-US"/>
          <w14:ligatures w14:val="standardContextual"/>
        </w:rPr>
        <w:t> </w:t>
      </w:r>
      <w:r w:rsidRPr="00F91DB6">
        <w:rPr>
          <w:rFonts w:eastAsiaTheme="minorHAnsi"/>
          <w:kern w:val="2"/>
          <w:lang w:eastAsia="en-US"/>
          <w14:ligatures w14:val="standardContextual"/>
        </w:rPr>
        <w:t>punktā paredzēts, ka tikai dome ir tiesīga noteikt kārtību, kādā notiek novēlējumu pieņemšana un pārzināšana, ievērojot likumā noteikto, no šīs tiesību normas izriet, ka tikai dome var pieņem lēmumu par mantojuma pieņemšanu.</w:t>
      </w:r>
    </w:p>
    <w:p w14:paraId="719FDE12" w14:textId="142BA92B" w:rsidR="00F91DB6" w:rsidRPr="00205468" w:rsidRDefault="00F91DB6" w:rsidP="004A0609">
      <w:pPr>
        <w:ind w:firstLine="720"/>
        <w:jc w:val="both"/>
        <w:rPr>
          <w:rFonts w:eastAsiaTheme="minorHAnsi"/>
          <w:kern w:val="2"/>
          <w:lang w:eastAsia="en-US"/>
          <w14:ligatures w14:val="standardContextual"/>
        </w:rPr>
      </w:pPr>
      <w:r w:rsidRPr="00F91DB6">
        <w:rPr>
          <w:rFonts w:eastAsiaTheme="minorHAnsi"/>
          <w:kern w:val="2"/>
          <w:lang w:eastAsia="en-US"/>
          <w14:ligatures w14:val="standardContextual"/>
        </w:rPr>
        <w:t>Pamatojoties uz Pašvaldību likuma 10. panta pirmās daļas 17. punktu, likuma “Par interešu konflikta novēršanu valsts amatpersonu darbībā” 14.</w:t>
      </w:r>
      <w:r>
        <w:rPr>
          <w:rFonts w:eastAsiaTheme="minorHAnsi"/>
          <w:kern w:val="2"/>
          <w:lang w:eastAsia="en-US"/>
          <w14:ligatures w14:val="standardContextual"/>
        </w:rPr>
        <w:t> </w:t>
      </w:r>
      <w:r w:rsidRPr="00F91DB6">
        <w:rPr>
          <w:rFonts w:eastAsiaTheme="minorHAnsi"/>
          <w:kern w:val="2"/>
          <w:lang w:eastAsia="en-US"/>
          <w14:ligatures w14:val="standardContextual"/>
        </w:rPr>
        <w:t xml:space="preserve">panta pirmo daļu, </w:t>
      </w:r>
      <w:bookmarkStart w:id="14" w:name="_Hlk148966675"/>
      <w:r>
        <w:rPr>
          <w:rFonts w:eastAsiaTheme="minorHAnsi"/>
          <w:kern w:val="2"/>
          <w:lang w:eastAsia="en-US"/>
          <w14:ligatures w14:val="standardContextual"/>
        </w:rPr>
        <w:t xml:space="preserve">ņemot vērā 17.10.2023. Finanšu un attīstības komitejas atzinumu, </w:t>
      </w:r>
      <w:bookmarkEnd w:id="14"/>
      <w:r>
        <w:t xml:space="preserve">atklāti balsojot: </w:t>
      </w:r>
      <w:r>
        <w:rPr>
          <w:b/>
          <w:color w:val="000000"/>
        </w:rPr>
        <w:t>PAR – 1</w:t>
      </w:r>
      <w:r w:rsidR="006440CF">
        <w:rPr>
          <w:b/>
          <w:color w:val="000000"/>
        </w:rPr>
        <w:t>6</w:t>
      </w:r>
      <w:r>
        <w:rPr>
          <w:b/>
          <w:color w:val="000000"/>
        </w:rPr>
        <w:t xml:space="preserve"> </w:t>
      </w:r>
      <w:r>
        <w:rPr>
          <w:color w:val="000000"/>
        </w:rPr>
        <w:t>(</w:t>
      </w:r>
      <w:r w:rsidR="006440CF" w:rsidRPr="006440C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DEF5BC4" w14:textId="613D9413" w:rsidR="00F91DB6" w:rsidRDefault="00F91DB6" w:rsidP="004A0609">
      <w:pPr>
        <w:pStyle w:val="Sarakstarindkopa"/>
        <w:numPr>
          <w:ilvl w:val="0"/>
          <w:numId w:val="46"/>
        </w:numPr>
        <w:ind w:hanging="720"/>
        <w:jc w:val="both"/>
        <w:rPr>
          <w:rFonts w:eastAsiaTheme="minorHAnsi"/>
          <w:kern w:val="2"/>
          <w:lang w:eastAsia="en-US"/>
          <w14:ligatures w14:val="standardContextual"/>
        </w:rPr>
      </w:pPr>
      <w:r w:rsidRPr="00F91DB6">
        <w:rPr>
          <w:rFonts w:eastAsiaTheme="minorHAnsi"/>
          <w:kern w:val="2"/>
          <w:lang w:eastAsia="en-US"/>
          <w14:ligatures w14:val="standardContextual"/>
        </w:rPr>
        <w:lastRenderedPageBreak/>
        <w:t xml:space="preserve">Piekrist, ka Madonas novada pašvaldības iestāde Lubānas Sociālās aprūpes centrs pieņem </w:t>
      </w:r>
      <w:r w:rsidR="00EC09C7">
        <w:rPr>
          <w:rFonts w:eastAsiaTheme="minorHAnsi"/>
          <w:kern w:val="2"/>
          <w:lang w:eastAsia="en-US"/>
          <w14:ligatures w14:val="standardContextual"/>
        </w:rPr>
        <w:t>[..]</w:t>
      </w:r>
      <w:r w:rsidR="00FA3D81">
        <w:rPr>
          <w:rFonts w:eastAsiaTheme="minorHAnsi"/>
          <w:kern w:val="2"/>
          <w:lang w:eastAsia="en-US"/>
          <w14:ligatures w14:val="standardContextual"/>
        </w:rPr>
        <w:t>,</w:t>
      </w:r>
      <w:r w:rsidRPr="00F91DB6">
        <w:rPr>
          <w:rFonts w:eastAsiaTheme="minorHAnsi"/>
          <w:kern w:val="2"/>
          <w:lang w:eastAsia="en-US"/>
          <w14:ligatures w14:val="standardContextual"/>
        </w:rPr>
        <w:t xml:space="preserve"> atstāto mantojumu</w:t>
      </w:r>
      <w:r w:rsidR="004A0609">
        <w:rPr>
          <w:rFonts w:eastAsiaTheme="minorHAnsi"/>
          <w:kern w:val="2"/>
          <w:lang w:eastAsia="en-US"/>
          <w14:ligatures w14:val="standardContextual"/>
        </w:rPr>
        <w:t xml:space="preserve"> </w:t>
      </w:r>
      <w:r w:rsidRPr="00F91DB6">
        <w:rPr>
          <w:rFonts w:eastAsiaTheme="minorHAnsi"/>
          <w:kern w:val="2"/>
          <w:lang w:eastAsia="en-US"/>
          <w14:ligatures w14:val="standardContextual"/>
        </w:rPr>
        <w:t>- 16000</w:t>
      </w:r>
      <w:r w:rsidR="004A0609">
        <w:rPr>
          <w:rFonts w:eastAsiaTheme="minorHAnsi"/>
          <w:kern w:val="2"/>
          <w:lang w:eastAsia="en-US"/>
          <w14:ligatures w14:val="standardContextual"/>
        </w:rPr>
        <w:t>,00</w:t>
      </w:r>
      <w:r w:rsidRPr="00F91DB6">
        <w:rPr>
          <w:rFonts w:eastAsiaTheme="minorHAnsi"/>
          <w:kern w:val="2"/>
          <w:lang w:eastAsia="en-US"/>
          <w14:ligatures w14:val="standardContextual"/>
        </w:rPr>
        <w:t xml:space="preserve"> </w:t>
      </w:r>
      <w:r w:rsidR="00FA3D81">
        <w:rPr>
          <w:rFonts w:eastAsiaTheme="minorHAnsi"/>
          <w:kern w:val="2"/>
          <w:lang w:eastAsia="en-US"/>
          <w14:ligatures w14:val="standardContextual"/>
        </w:rPr>
        <w:t xml:space="preserve">EUR </w:t>
      </w:r>
      <w:r w:rsidRPr="00F91DB6">
        <w:rPr>
          <w:rFonts w:eastAsiaTheme="minorHAnsi"/>
          <w:kern w:val="2"/>
          <w:lang w:eastAsia="en-US"/>
          <w14:ligatures w14:val="standardContextual"/>
        </w:rPr>
        <w:t>(sešpadsmit tūkstoši</w:t>
      </w:r>
      <w:r w:rsidR="00FA3D81">
        <w:rPr>
          <w:rFonts w:eastAsiaTheme="minorHAnsi"/>
          <w:kern w:val="2"/>
          <w:lang w:eastAsia="en-US"/>
          <w14:ligatures w14:val="standardContextual"/>
        </w:rPr>
        <w:t xml:space="preserve"> </w:t>
      </w:r>
      <w:r w:rsidRPr="00FA3D81">
        <w:rPr>
          <w:rFonts w:eastAsiaTheme="minorHAnsi"/>
          <w:kern w:val="2"/>
          <w:lang w:eastAsia="en-US"/>
          <w14:ligatures w14:val="standardContextual"/>
        </w:rPr>
        <w:t>euro</w:t>
      </w:r>
      <w:r w:rsidR="00FA3D81">
        <w:rPr>
          <w:rFonts w:eastAsiaTheme="minorHAnsi"/>
          <w:i/>
          <w:iCs/>
          <w:kern w:val="2"/>
          <w:lang w:eastAsia="en-US"/>
          <w14:ligatures w14:val="standardContextual"/>
        </w:rPr>
        <w:t>)</w:t>
      </w:r>
      <w:r w:rsidRPr="00F91DB6">
        <w:rPr>
          <w:rFonts w:eastAsiaTheme="minorHAnsi"/>
          <w:kern w:val="2"/>
          <w:lang w:eastAsia="en-US"/>
          <w14:ligatures w14:val="standardContextual"/>
        </w:rPr>
        <w:t>.</w:t>
      </w:r>
    </w:p>
    <w:p w14:paraId="5B662F2A" w14:textId="77777777" w:rsidR="00F91DB6" w:rsidRDefault="00F91DB6" w:rsidP="004A0609">
      <w:pPr>
        <w:pStyle w:val="Sarakstarindkopa"/>
        <w:numPr>
          <w:ilvl w:val="0"/>
          <w:numId w:val="46"/>
        </w:numPr>
        <w:ind w:hanging="720"/>
        <w:jc w:val="both"/>
        <w:rPr>
          <w:rFonts w:eastAsiaTheme="minorHAnsi"/>
          <w:kern w:val="2"/>
          <w:lang w:eastAsia="en-US"/>
          <w14:ligatures w14:val="standardContextual"/>
        </w:rPr>
      </w:pPr>
      <w:r w:rsidRPr="00F91DB6">
        <w:rPr>
          <w:rFonts w:eastAsiaTheme="minorHAnsi"/>
          <w:kern w:val="2"/>
          <w:lang w:eastAsia="en-US"/>
          <w14:ligatures w14:val="standardContextual"/>
        </w:rPr>
        <w:t>Mantojuma izlietošanas mērķis – Lubānas Sociālā aprūpes centra funkcijas nodrošināšana.</w:t>
      </w:r>
    </w:p>
    <w:p w14:paraId="221C9965" w14:textId="08B02A67" w:rsidR="00680A09" w:rsidRPr="00F91DB6" w:rsidRDefault="00F91DB6" w:rsidP="004A0609">
      <w:pPr>
        <w:pStyle w:val="Sarakstarindkopa"/>
        <w:numPr>
          <w:ilvl w:val="0"/>
          <w:numId w:val="46"/>
        </w:numPr>
        <w:ind w:hanging="720"/>
        <w:jc w:val="both"/>
        <w:rPr>
          <w:rFonts w:eastAsiaTheme="minorHAnsi"/>
          <w:kern w:val="2"/>
          <w:lang w:eastAsia="en-US"/>
          <w14:ligatures w14:val="standardContextual"/>
        </w:rPr>
      </w:pPr>
      <w:r w:rsidRPr="00F91DB6">
        <w:rPr>
          <w:rFonts w:eastAsiaTheme="minorHAnsi"/>
          <w:kern w:val="2"/>
          <w:lang w:eastAsia="en-US"/>
          <w14:ligatures w14:val="standardContextual"/>
        </w:rPr>
        <w:t>Pilnvarot Lubānas Sociālās aprūpes centra vadītāju Jolantu Kočāni veikt tālākās nepieciešamās darbības, kas saistītas ar mantojuma pieņemšanu.</w:t>
      </w:r>
    </w:p>
    <w:bookmarkEnd w:id="1"/>
    <w:bookmarkEnd w:id="2"/>
    <w:bookmarkEnd w:id="3"/>
    <w:bookmarkEnd w:id="4"/>
    <w:bookmarkEnd w:id="5"/>
    <w:bookmarkEnd w:id="6"/>
    <w:bookmarkEnd w:id="7"/>
    <w:bookmarkEnd w:id="8"/>
    <w:bookmarkEnd w:id="9"/>
    <w:bookmarkEnd w:id="10"/>
    <w:bookmarkEnd w:id="11"/>
    <w:bookmarkEnd w:id="12"/>
    <w:bookmarkEnd w:id="13"/>
    <w:p w14:paraId="5D260CC8" w14:textId="5773461F" w:rsidR="007D43B2" w:rsidRDefault="007D43B2" w:rsidP="004A0609">
      <w:pPr>
        <w:jc w:val="both"/>
      </w:pPr>
    </w:p>
    <w:p w14:paraId="7C560693" w14:textId="77777777" w:rsidR="00F91DB6" w:rsidRDefault="00F91DB6" w:rsidP="004A0609">
      <w:pPr>
        <w:jc w:val="both"/>
      </w:pPr>
    </w:p>
    <w:p w14:paraId="5A3BC0E5" w14:textId="2BF5EF7F" w:rsidR="00DA127E" w:rsidRPr="00582C08" w:rsidRDefault="00DA127E" w:rsidP="004A060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4A0609">
      <w:pPr>
        <w:suppressAutoHyphens/>
        <w:jc w:val="both"/>
        <w:rPr>
          <w:rFonts w:eastAsia="Calibri"/>
          <w:i/>
          <w:kern w:val="1"/>
          <w:lang w:eastAsia="ar-SA"/>
        </w:rPr>
      </w:pPr>
    </w:p>
    <w:p w14:paraId="0DE1D8A2" w14:textId="77777777" w:rsidR="00671445" w:rsidRDefault="00671445" w:rsidP="004A0609">
      <w:pPr>
        <w:suppressAutoHyphens/>
        <w:jc w:val="both"/>
        <w:rPr>
          <w:rFonts w:eastAsia="Calibri"/>
          <w:i/>
          <w:kern w:val="1"/>
          <w:lang w:eastAsia="ar-SA"/>
        </w:rPr>
      </w:pPr>
    </w:p>
    <w:p w14:paraId="2900031C" w14:textId="63823C31" w:rsidR="0058216E" w:rsidRDefault="0058216E" w:rsidP="004A0609">
      <w:pPr>
        <w:rPr>
          <w:i/>
        </w:rPr>
      </w:pPr>
    </w:p>
    <w:p w14:paraId="69575C0D" w14:textId="77777777" w:rsidR="00F91DB6" w:rsidRPr="00D158D0" w:rsidRDefault="00F91DB6" w:rsidP="004A0609">
      <w:pPr>
        <w:rPr>
          <w:rFonts w:eastAsiaTheme="minorHAnsi"/>
          <w:i/>
          <w:iCs/>
          <w:kern w:val="2"/>
          <w:lang w:eastAsia="en-US"/>
          <w14:ligatures w14:val="standardContextual"/>
        </w:rPr>
      </w:pPr>
      <w:r w:rsidRPr="00D158D0">
        <w:rPr>
          <w:rFonts w:eastAsiaTheme="minorHAnsi"/>
          <w:i/>
          <w:iCs/>
          <w:kern w:val="2"/>
          <w:lang w:eastAsia="en-US"/>
          <w14:ligatures w14:val="standardContextual"/>
        </w:rPr>
        <w:t>Bodžs 26165144</w:t>
      </w:r>
    </w:p>
    <w:p w14:paraId="164C0EBA" w14:textId="19D315B7" w:rsidR="0039181D" w:rsidRDefault="0039181D" w:rsidP="004A0609">
      <w:pPr>
        <w:rPr>
          <w:i/>
        </w:rPr>
      </w:pPr>
    </w:p>
    <w:p w14:paraId="51F4BE1C" w14:textId="2F4F80AE" w:rsidR="0039181D" w:rsidRDefault="0039181D" w:rsidP="004A0609">
      <w:pPr>
        <w:rPr>
          <w:i/>
        </w:rPr>
      </w:pPr>
    </w:p>
    <w:p w14:paraId="180871B3" w14:textId="77777777" w:rsidR="0039181D" w:rsidRPr="00CD2131" w:rsidRDefault="0039181D" w:rsidP="004A0609">
      <w:pPr>
        <w:rPr>
          <w:i/>
        </w:rPr>
      </w:pPr>
    </w:p>
    <w:p w14:paraId="012A406B" w14:textId="25354166" w:rsidR="004067A5" w:rsidRPr="00F27198" w:rsidRDefault="0048072A" w:rsidP="004A0609">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2663" w14:textId="77777777" w:rsidR="00FD73DA" w:rsidRDefault="00FD73DA" w:rsidP="00151271">
      <w:r>
        <w:separator/>
      </w:r>
    </w:p>
  </w:endnote>
  <w:endnote w:type="continuationSeparator" w:id="0">
    <w:p w14:paraId="56628326" w14:textId="77777777" w:rsidR="00FD73DA" w:rsidRDefault="00FD73D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9576" w14:textId="77777777" w:rsidR="00FD73DA" w:rsidRDefault="00FD73DA" w:rsidP="00151271">
      <w:r>
        <w:separator/>
      </w:r>
    </w:p>
  </w:footnote>
  <w:footnote w:type="continuationSeparator" w:id="0">
    <w:p w14:paraId="451D0AC9" w14:textId="77777777" w:rsidR="00FD73DA" w:rsidRDefault="00FD73D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4"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2"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1"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1"/>
  </w:num>
  <w:num w:numId="3">
    <w:abstractNumId w:val="34"/>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9"/>
  </w:num>
  <w:num w:numId="9">
    <w:abstractNumId w:val="4"/>
  </w:num>
  <w:num w:numId="10">
    <w:abstractNumId w:val="4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0"/>
  </w:num>
  <w:num w:numId="14">
    <w:abstractNumId w:val="11"/>
  </w:num>
  <w:num w:numId="15">
    <w:abstractNumId w:val="23"/>
  </w:num>
  <w:num w:numId="16">
    <w:abstractNumId w:val="38"/>
  </w:num>
  <w:num w:numId="17">
    <w:abstractNumId w:val="31"/>
  </w:num>
  <w:num w:numId="18">
    <w:abstractNumId w:val="3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33"/>
  </w:num>
  <w:num w:numId="26">
    <w:abstractNumId w:val="0"/>
  </w:num>
  <w:num w:numId="27">
    <w:abstractNumId w:val="20"/>
  </w:num>
  <w:num w:numId="28">
    <w:abstractNumId w:val="10"/>
  </w:num>
  <w:num w:numId="29">
    <w:abstractNumId w:val="2"/>
  </w:num>
  <w:num w:numId="30">
    <w:abstractNumId w:val="27"/>
  </w:num>
  <w:num w:numId="31">
    <w:abstractNumId w:val="37"/>
  </w:num>
  <w:num w:numId="32">
    <w:abstractNumId w:val="32"/>
  </w:num>
  <w:num w:numId="33">
    <w:abstractNumId w:val="35"/>
  </w:num>
  <w:num w:numId="34">
    <w:abstractNumId w:val="24"/>
  </w:num>
  <w:num w:numId="35">
    <w:abstractNumId w:val="17"/>
  </w:num>
  <w:num w:numId="36">
    <w:abstractNumId w:val="14"/>
  </w:num>
  <w:num w:numId="37">
    <w:abstractNumId w:val="43"/>
  </w:num>
  <w:num w:numId="38">
    <w:abstractNumId w:val="41"/>
  </w:num>
  <w:num w:numId="39">
    <w:abstractNumId w:val="8"/>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19"/>
  </w:num>
  <w:num w:numId="43">
    <w:abstractNumId w:val="26"/>
  </w:num>
  <w:num w:numId="44">
    <w:abstractNumId w:val="3"/>
  </w:num>
  <w:num w:numId="45">
    <w:abstractNumId w:val="22"/>
  </w:num>
  <w:num w:numId="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0358"/>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05468"/>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8303F"/>
    <w:rsid w:val="00496090"/>
    <w:rsid w:val="004967FB"/>
    <w:rsid w:val="0049701F"/>
    <w:rsid w:val="004A0609"/>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40CF"/>
    <w:rsid w:val="00646702"/>
    <w:rsid w:val="00646A08"/>
    <w:rsid w:val="00647BE0"/>
    <w:rsid w:val="00654658"/>
    <w:rsid w:val="00656C0C"/>
    <w:rsid w:val="0065749C"/>
    <w:rsid w:val="0066365C"/>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63D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58D0"/>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C09C7"/>
    <w:rsid w:val="00ED10D6"/>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D81"/>
    <w:rsid w:val="00FA3E48"/>
    <w:rsid w:val="00FA77F9"/>
    <w:rsid w:val="00FB7D6B"/>
    <w:rsid w:val="00FC6EBD"/>
    <w:rsid w:val="00FD73DA"/>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2333</Words>
  <Characters>1330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235</cp:revision>
  <dcterms:created xsi:type="dcterms:W3CDTF">2023-08-17T07:16:00Z</dcterms:created>
  <dcterms:modified xsi:type="dcterms:W3CDTF">2023-10-31T08:39:00Z</dcterms:modified>
</cp:coreProperties>
</file>